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108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Заключено </w:t>
      </w:r>
      <w:r w:rsidDel="00000000" w:rsidR="00000000" w:rsidRPr="00000000">
        <w:rPr>
          <w:rFonts w:ascii="Times New Roman" w:cs="Times New Roman" w:eastAsia="Times New Roman" w:hAnsi="Times New Roman"/>
          <w:b w:val="0"/>
          <w:i w:val="1"/>
          <w:smallCaps w:val="0"/>
          <w:strike w:val="0"/>
          <w:color w:val="ff0000"/>
          <w:sz w:val="23"/>
          <w:szCs w:val="23"/>
          <w:u w:val="none"/>
          <w:shd w:fill="auto" w:val="clear"/>
          <w:vertAlign w:val="baseline"/>
          <w:rtl w:val="0"/>
        </w:rPr>
        <w:t xml:space="preserve">«____»___________20___г.</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br w:type="textWrapping"/>
        <w:t xml:space="preserve">г. Москва, РФ</w:t>
      </w:r>
      <w:r w:rsidDel="00000000" w:rsidR="00000000" w:rsidRPr="00000000">
        <w:rPr>
          <w:rtl w:val="0"/>
        </w:rPr>
      </w:r>
    </w:p>
    <w:p w:rsidR="00000000" w:rsidDel="00000000" w:rsidP="00000000" w:rsidRDefault="00000000" w:rsidRPr="00000000" w14:paraId="00000001">
      <w:pPr>
        <w:keepNext w:val="0"/>
        <w:keepLines w:val="0"/>
        <w:widowControl w:val="1"/>
        <w:pBdr>
          <w:top w:color="000000" w:space="12" w:sz="18" w:val="single"/>
          <w:left w:space="0" w:sz="0" w:val="nil"/>
          <w:bottom w:color="000000" w:space="12" w:sz="18" w:val="single"/>
          <w:right w:space="0" w:sz="0" w:val="nil"/>
          <w:between w:space="0" w:sz="0" w:val="nil"/>
        </w:pBdr>
        <w:shd w:fill="auto" w:val="clear"/>
        <w:spacing w:after="120" w:before="1440" w:line="240" w:lineRule="auto"/>
        <w:ind w:left="1701" w:right="17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СОГЛАШЕНИЕ О КОНФИДЕНЦИАЛЬНОСТИ И НЕРАЗГЛАШЕНИИ </w:t>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КОНФИДЕНЦИАЛЬНОЙ ИНФОРМАЦИИ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10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МЕЖДУ</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ИНДИВИДУАЛЬНЫМ ПРЕДПРИНИМАТЕЛЕМ</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br w:type="textWrapping"/>
        <w:t xml:space="preserve">АЛЕШИН Г.А.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и</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ОПРЕДЕЛЕНИЯ</w:t>
            <w:tab/>
          </w:r>
          <w:r w:rsidDel="00000000" w:rsidR="00000000" w:rsidRPr="00000000">
            <w:fldChar w:fldCharType="begin"/>
            <w:instrText xml:space="preserve"> PAGEREF _gjdgxs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ОБЩИЕ ПОЛОЖЕНИЯ</w:t>
            <w:tab/>
          </w:r>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tab/>
            <w:t xml:space="preserve">Предмет регулирования</w:t>
            <w:tab/>
          </w:r>
          <w:r w:rsidDel="00000000" w:rsidR="00000000" w:rsidRPr="00000000">
            <w:fldChar w:fldCharType="begin"/>
            <w:instrText xml:space="preserve"> PAGEREF _1fob9te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tab/>
            <w:t xml:space="preserve">Обратная сила</w:t>
            <w:tab/>
          </w:r>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tab/>
            <w:t xml:space="preserve">Пределы действия</w:t>
            <w:tab/>
          </w:r>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ПРЕДМЕТ СОГЛАШЕНИЯ</w:t>
            <w:tab/>
          </w:r>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tab/>
            <w:t xml:space="preserve">Конфиденциальная информация</w:t>
            <w:tab/>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w:t>
            <w:tab/>
            <w:t xml:space="preserve">Режим охраны конфиденциальной информации</w:t>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tab/>
            <w:t xml:space="preserve">Форма представления информации</w:t>
            <w:tab/>
            <w:t xml:space="preserve">5</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tab/>
            <w:t xml:space="preserve">Установление ограничений</w:t>
            <w:tab/>
            <w:t xml:space="preserve">5</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tab/>
            <w:t xml:space="preserve">Конфиденты</w:t>
            <w:tab/>
          </w:r>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tab/>
            <w:t xml:space="preserve">Передача в процессе переговоров</w:t>
            <w:tab/>
          </w:r>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tab/>
            <w:t xml:space="preserve">Обязательство о неразглашении</w:t>
            <w:tab/>
          </w:r>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tab/>
            <w:t xml:space="preserve">Исключение косвенных контактов</w:t>
            <w:tab/>
          </w:r>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w:t>
            <w:tab/>
            <w:t xml:space="preserve">Неправомерные способы получения конфиденциальной информации</w:t>
            <w:tab/>
          </w:r>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3.10.      Исключение предложений сотрудникам…………………..………………………..……………………….5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УПОЛНОМОЧЕННЫЕ ЛИЦА</w:t>
            <w:tab/>
          </w:r>
          <w:r w:rsidDel="00000000" w:rsidR="00000000" w:rsidRPr="00000000">
            <w:fldChar w:fldCharType="begin"/>
            <w:instrText xml:space="preserve"> PAGEREF _1ksv4uv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w:t>
            <w:tab/>
            <w:t xml:space="preserve">Право запроса и получения информации</w:t>
            <w:tab/>
            <w:t xml:space="preserve">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tab/>
            <w:t xml:space="preserve">Форма разрешения</w:t>
            <w:tab/>
            <w:t xml:space="preserve">5</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ПРАВА ОБЛАДАТЕЛЯ КОНФИДЕНЦИАЛЬНОЙ ИНФОРМАЦИИ</w:t>
            <w:tab/>
            <w:t xml:space="preserve">6</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ПРАВА КОНФИДЕНТА</w:t>
            <w:tab/>
            <w:t xml:space="preserve">6</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ОБЯЗАННОСТИ КОНФИДЕНТА</w:t>
            <w:tab/>
          </w:r>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w:t>
            <w:tab/>
            <w:t xml:space="preserve">Основание возникновения обязанностей</w:t>
            <w:tab/>
          </w:r>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w:t>
            <w:tab/>
            <w:t xml:space="preserve">Запрет использования конфиденциальной информации</w:t>
            <w:tab/>
          </w:r>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w:t>
            <w:tab/>
            <w:t xml:space="preserve">Соблюдение режима защиты</w:t>
            <w:tab/>
          </w:r>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w:t>
            <w:tab/>
            <w:t xml:space="preserve">Срок действия оговорок о неразглашении</w:t>
            <w:tab/>
          </w:r>
          <w:r w:rsidDel="00000000" w:rsidR="00000000" w:rsidRPr="00000000">
            <w:fldChar w:fldCharType="begin"/>
            <w:instrText xml:space="preserve"> PAGEREF _3whwml4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tab/>
            <w:t xml:space="preserve">Распоряжение информацией</w:t>
            <w:tab/>
          </w:r>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tab/>
            <w:t xml:space="preserve">Изменение режима</w:t>
            <w:tab/>
            <w:t xml:space="preserve">7</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w:t>
            <w:tab/>
            <w:t xml:space="preserve">Уведомление о нарушении режима</w:t>
            <w:tab/>
            <w:t xml:space="preserve">7</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НОУ-ХАУ</w:t>
            <w:tab/>
            <w:t xml:space="preserve">7</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w:t>
            <w:tab/>
            <w:t xml:space="preserve">Имущественные права на ноу-хау</w:t>
            <w:tab/>
            <w:t xml:space="preserve">7</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2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w:t>
            <w:tab/>
            <w:t xml:space="preserve">Запрет использования</w:t>
            <w:tab/>
            <w:t xml:space="preserve">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60"/>
              <w:tab w:val="right" w:pos="9639"/>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ОТВЕТСТВЕННОСТЬ СТОРОН</w:t>
            <w:tab/>
            <w:t xml:space="preserve">7</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6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ДЕЛИМОСТЬ ДОГОВОРА</w:t>
            <w:tab/>
          </w:r>
          <w:r w:rsidDel="00000000" w:rsidR="00000000" w:rsidRPr="00000000">
            <w:fldChar w:fldCharType="begin"/>
            <w:instrText xml:space="preserve"> PAGEREF _3o7alnk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ОТКАЗ ОТ ПРАВ</w:t>
            <w:tab/>
          </w:r>
          <w:r w:rsidDel="00000000" w:rsidR="00000000" w:rsidRPr="00000000">
            <w:fldChar w:fldCharType="begin"/>
            <w:instrText xml:space="preserve"> PAGEREF _23ckvvd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6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ЗАГОЛОВКИ</w:t>
            <w:tab/>
            <w:t xml:space="preserve">7</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6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ПРИМЕНИМОЕ ПРАВО И ПОДСУДНОСТЬ</w:t>
            <w:tab/>
            <w:t xml:space="preserve">7</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15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w:t>
            <w:tab/>
            <w:t xml:space="preserve">Применимое право</w:t>
            <w:tab/>
            <w:t xml:space="preserve">7</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50"/>
            </w:tabs>
            <w:spacing w:after="120" w:before="0" w:line="240" w:lineRule="auto"/>
            <w:ind w:left="230" w:right="0" w:hanging="2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w:t>
            <w:tab/>
            <w:t xml:space="preserve">Подсудность</w:t>
            <w:tab/>
            <w:t xml:space="preserve">7</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6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ОБЯЗАТЕЛЬНАЯ СИЛА</w:t>
            <w:tab/>
            <w:t xml:space="preserve">8</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9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СРОК ДЕЙСТВИЯ СОГЛАШЕНИЯ</w:t>
            <w:tab/>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СОГЛАШЕНИЕ О КОНФИДЕНЦИАЛЬНОСТИ И НЕРАЗГЛАШЕНИИ КОНФИДЕНЦИАЛЬНОЙ ИНФОРМАЦИИ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НАСТОЯЩЕЕ СОГЛАШЕНИЕ заключено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«____»____________ 20___г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г. Москва, Российская Федерация между Сторонами: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Индивидуальным предпринимателем Алешином Г.А и</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ЗАКАЗЧИК</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целях охраны конфиденциальной информации Сторон, а также в целях предупреждения недобросовестной конкуренции и нанесения Сторонам убытков, Стороны заключили настоящее Соглашение (далее – Соглашение) о следующем:</w:t>
      </w:r>
    </w:p>
    <w:p w:rsidR="00000000" w:rsidDel="00000000" w:rsidP="00000000" w:rsidRDefault="00000000" w:rsidRPr="00000000" w14:paraId="0000003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708" w:right="2976" w:hanging="708"/>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ОПРЕДЕЛЕНИЯ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настоящем Соглашении используются следующие основные понятия:</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«Гриф коммерческой тайны»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реквизиты, свидетельствующие об установлении режима коммерческой тайны для информации (сведений), с указанием ее/их обладателя, и проставляемые на носителе информации и/или на сопроводительном документе;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«Конфидент»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соответствующую Сторону (в лице ее надлежащим образом уполномоченных представителей), которой в силу отдельного договора между Сторонами или на ином законном основании известна конфиденциальная информация другой Стороны, и использующую такую информацию в пределах, установленных обладателем конфиденциальной информации на основании настоящего Соглашения, условий отдельного соглашения или распорядительных документов.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«Неправомерные способы получения конфиденциальной информации»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хищение, коммерческий подкуп, дача взятки, введение в заблуждение, нарушение или подстрекательство к нарушению обязательств по соблюдению конфиденциальности, а также сбор конфиденциальной информации путем похищения документов, подкупа или угроз, а равно иным незаконным способом в целях разглашения либо незаконного использования этих сведений; </w:t>
        <w:br w:type="textWrapping"/>
        <w:t xml:space="preserve">неправомерное использование секретов производства (ноу-хау), в т.ч. использование секретов производства (ноу-хау) в собственном производстве и/или распространение на основе лицензионных или иных договоров, а также любые другие неправомерные</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действия по включению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ноу-хау</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хозяйственный оборот, либо изъятию из хозяйственного оборота.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«Ноу-хау»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охраняемые в режиме коммерческой тайны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включая, но не ограничиваясь: (1) неопубликованные научно-технические результаты, технические решения, методы, способы использования технологических процессов и устройств, которые не обеспечены патентной защитой по законодательству или по усмотрению Стороны, обладающей такой информацией на законном основании; (2) знания и опыт в области реализации продукции и услуг; (3) сведения о конъюнктуре рынка, результаты маркетинговых исследований; (4) коммерческие, методические или организационно-управленческие идеи и решения;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«Обладатель конфиденциальной информации»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соответствующую Сторону, создавшую конфиденциальную информацию либо получившую на основании закона или договора право разрешать или ограничивать доступ к такой информации.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«Разглашение»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деяние (действие или бездействие) в нарушение настоящего Соглашения, в результате чего конфиденциальная информация в любой возможной форме (устной, письменной, иной форме, в т.ч. с использованием технических средств) становится известна третьим лицам без согласия обладателя такой информации;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«Информация»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сведения о лицах, предметах, фактах, событиях, явлениях и процессах независимо от формы их представления.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«Коммерческая тайна»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«Компенсация»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средство правовой защиты при нарушении Стороной своих обязательств по настоящему Соглашению, основанное на выгоде, полученной Стороной в результате нарушения своих обязательств по настоящему Соглашению.</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«Конфиденциальная информация»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сведения, имеющие действительную или потенциальную коммерческую ценность в силу их неизвестности третьим лицам, к ним нет свободного доступа третьих лиц на законном основании и Сторона принимает меры к охране их конфиденциальности. К конфиденциальной информации относятся в том числе сведения, в отношении которых введен режим коммерческой тайны, а также сведения о существенных событиях и действиях, прямо или косвенно затрагивающих финансово-хозяйственную деятельность Сторон, вне зависимости от того, является ли эта информация документированной.</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«Раскрытие информации»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передачу в любой форме и любым способом конфиденциальной информации ее обладателем конфиденту на основании договора либо в процессе проведения переговоров;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«Соглашение»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настоящее Соглашение, а также все дополнения и приложения, содержащие ссылки на настоящее Соглашение, а также иные соглашения, протоколы и документы, полностью или частично дополняющие настоящее Соглашение, либо в которых прямо указано, что они являются дополнительными по отношению к настоящему Соглашению. Указанные документы составляют единое соглашение между Сторонами.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«Убытки»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расходы, которые Сторона, чье право нарушено, произвела или должна будет произвести для восстановления нарушенного права, утрата или повреждение имущества (реальный ущерб) Стороны,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«Условие / Условия»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означает одно или несколько условий настоящего Соглашения.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ОБЩИЕ ПОЛОЖЕНИЯ</w:t>
      </w:r>
    </w:p>
    <w:p w:rsidR="00000000" w:rsidDel="00000000" w:rsidP="00000000" w:rsidRDefault="00000000" w:rsidRPr="00000000" w14:paraId="00000048">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bookmarkStart w:colFirst="0" w:colLast="0" w:name="_1fob9te" w:id="2"/>
      <w:bookmarkEnd w:id="2"/>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Предмет регулирования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Настоящее Соглашение определяет права и обязанности Сторон, возникающие при взаимной передаче конфиденциальной информации вне зависимости от формы ее представления и способа передачи.</w:t>
      </w:r>
    </w:p>
    <w:p w:rsidR="00000000" w:rsidDel="00000000" w:rsidP="00000000" w:rsidRDefault="00000000" w:rsidRPr="00000000" w14:paraId="0000004A">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Обратная сила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Обязательства Сторон по настоящему Соглашению распространяются на все проведенные между Сторонами переговоры и заключенные сделки на день заключения настоящего Соглашения, а также переговоры и сделки, которые Стороны проведут и заключат в течение срока действия настоящего Соглашения. </w:t>
      </w:r>
    </w:p>
    <w:p w:rsidR="00000000" w:rsidDel="00000000" w:rsidP="00000000" w:rsidRDefault="00000000" w:rsidRPr="00000000" w14:paraId="0000004C">
      <w:pPr>
        <w:keepNext w:val="1"/>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Пределы действия</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Настоящее Соглашение действует наряду с отдельными условиями об охране конфиденциальной информации, установленными гражданско-правовыми договорами между Сторонами. Если в гражданско-правовом договоре Стороны предусмотрят специальные условия, изменяющие или дополняющие условия настоящего Соглашения, то преимущественную силу имеют специальные условия.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4F">
      <w:pPr>
        <w:keepNext w:val="1"/>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ПРЕДМЕТ СОГЛАШЕНИЯ</w:t>
      </w:r>
    </w:p>
    <w:p w:rsidR="00000000" w:rsidDel="00000000" w:rsidP="00000000" w:rsidRDefault="00000000" w:rsidRPr="00000000" w14:paraId="00000050">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bookmarkStart w:colFirst="0" w:colLast="0" w:name="_3dy6vkm" w:id="6"/>
      <w:bookmarkEnd w:id="6"/>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Конфиденциальная информация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Конфиденциальной информацией Стороны признают любые полученные одной Стороной, ее работниками и исполнителями сведения о другой Стороне, за исключением сведений: (а) являющихся общеизвестными не в результате действий или упущений, допущенных такой Стороной; (б) независимо полученных Стороной законным путем от третьих лиц, которые имеют подтвержденные права владения и распоряжения информацией; (в) были санкционированы для раскрытия другой Стороной в силу взятия на себя обязательств по открытому обмену сведениями или изменения объективных обстоятельств, вследствие которого дальнейшая защита сведений, составляющих коммерческую и служебную тайну, является нецелесообразной.</w:t>
      </w:r>
    </w:p>
    <w:p w:rsidR="00000000" w:rsidDel="00000000" w:rsidP="00000000" w:rsidRDefault="00000000" w:rsidRPr="00000000" w14:paraId="00000052">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Режим охраны конфиденциальной информации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Правовая охрана, предоставляемая настоящим Соглашением, распространяется, в том числе на конфиденциальную информацию Сторон, в отношении которой Стороной введен режим коммерческой тайны, составляющую секрет производства (ноу-хау), а также на иную конфиденциальную информацию,  предназначенную для ограниченного круга лиц, в том числе, на: (1) первичные бухгалтерские документы и промежуточные финансовые отчеты; (2) сведения о наиболее выгодных формах использования денежных средств, ценных бумаг, акций; (3) деловую переписку; (4) списки клиентов; (5) сведения о заключенных договорах (контрактах), их содержании, предложения по их заключению; (6) планы развития и реорганизации производства; (7) структуры и методы управления; связи внутри и вне предприятия Стороны; (8) распределение должностных обязанностей и их содержание; (9) кадровый состав, его подбор, формирование; (10) программное обеспечение; (11) иную информацию, не подпадающую под определенный законом и иными правовыми актами перечень сведений, которые не могут составлять коммерческую тайну.</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в соответствующем договоре не оговорено иное, при заключении между Сторонами и выполнении гражданско-правовых договоров Стороны устанавливают режим охраны конфиденциальной информации для всей информации, получаемой и используемой в процессе выполнения таких договоров. </w:t>
      </w:r>
    </w:p>
    <w:p w:rsidR="00000000" w:rsidDel="00000000" w:rsidP="00000000" w:rsidRDefault="00000000" w:rsidRPr="00000000" w14:paraId="00000055">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Форма представления информации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Правовая охрана распространяется на конфиденциальную информацию Сторон независимо от вида носителя информации и формы ее представления (выражения).</w:t>
      </w:r>
    </w:p>
    <w:p w:rsidR="00000000" w:rsidDel="00000000" w:rsidP="00000000" w:rsidRDefault="00000000" w:rsidRPr="00000000" w14:paraId="00000057">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Установление ограничений</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устанавливают ограничения на распространение конфиденциальной информации как с момента ее получения (разработки) Сторонами, так и заблаговременно.</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Отсутствие правовых, организационных, технических и иных мер по охране информации (режим охраны конфиденциальной информации) в отношении каких-либо научно-технических, коммерческих, организационных или иных используемых в предпринимательской деятельности Стороны сведений не является обстоятельством, освобождающим другую Сторону от выполнения обязательств по настоящему Соглашению и от ответственности за их невыполнение.</w:t>
      </w:r>
    </w:p>
    <w:p w:rsidR="00000000" w:rsidDel="00000000" w:rsidP="00000000" w:rsidRDefault="00000000" w:rsidRPr="00000000" w14:paraId="0000005A">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Конфиденты</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Каждая из Сторон является конфидентом по отношению к Стороне, предоставляющей информацию.</w:t>
      </w:r>
    </w:p>
    <w:p w:rsidR="00000000" w:rsidDel="00000000" w:rsidP="00000000" w:rsidRDefault="00000000" w:rsidRPr="00000000" w14:paraId="0000005C">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Передача в процессе переговоров</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получившая конфиденциальную информацию в процессе переговоров, обязана не разглашать эту информацию и/или не использовать ее иным образом для собственных целей, независимо от того, заключен ли впоследствии договор, без прямо выраженного письменного согласия другой Стороны. Такое письменное согласие будет иметь силу только в том случае, если оно подписано надлежащим образом уполномоченным представителем Стороны, передающей информацию. Средства правовой защиты при нарушении этой обязанности могут включать компенсацию, основанную на выгоде, полученной другой Стороной.</w:t>
      </w:r>
    </w:p>
    <w:p w:rsidR="00000000" w:rsidDel="00000000" w:rsidP="00000000" w:rsidRDefault="00000000" w:rsidRPr="00000000" w14:paraId="0000005E">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Обязательство о неразглашении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получающая информацию, обязуется ни при каких условиях не разглашать, не предоставлять, не распространять, не обсуждать и не воспроизводить сообщения, материалы, документы или иные виды информации, имеющие отношение к отношениям Сторон, без прямо выраженного письменного согласия другой Стороны. Такое письменное согласие будет иметь силу только в том случае, если оно подписано лицом, выполняющим обязанности исполнительного органа Стороны, передающей информацию.</w:t>
      </w:r>
    </w:p>
    <w:p w:rsidR="00000000" w:rsidDel="00000000" w:rsidP="00000000" w:rsidRDefault="00000000" w:rsidRPr="00000000" w14:paraId="00000060">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Исключение косвенных контактов</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 одна из Сторон настоящего Соглашения не будет пытаться прямо или косвенно, контактировать или сотрудничать с клиентом, агентом, партнером, консультантом другой Стороны по вопросам, связанным с взаимоотношениями Сторон, за исключением действий через эту другую Сторону или получения письменного согласия на такие действия этой другой Стороны, а также не будет пытаться обойти другую Сторону любым иным способом предназначенным для того, чтобы воспрепятствовать другой Стороне получить  вознаграждение, доход и/или прибыль, которые должны были быть получены/предполагались к получению каждой из Сторон в результате их взаимоотношений.</w:t>
      </w:r>
    </w:p>
    <w:p w:rsidR="00000000" w:rsidDel="00000000" w:rsidP="00000000" w:rsidRDefault="00000000" w:rsidRPr="00000000" w14:paraId="00000062">
      <w:pPr>
        <w:keepNext w:val="1"/>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Неправомерные способы получения конфиденциальной информации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Получение конфиденциальной информации, в том числе в отношении которой установлен режим коммерческой тайны, неправомерными способами, не допускается. Сторона не имеет права получать конфиденциальную информацию другой Стороны, в т.ч. от третьих лиц, если она знает или имеет достаточные основания полагать, что данная информация приобретается/ранее была приобретена с помощью неправомерных средств.</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3.10.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Исключение предложений сотрудникам.</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Каждая из Сторон берет на себя обязательство не инициировать, на период до 5 (пяти) лет от даты подписания настоящего соглашения, контакты с сотрудниками другой Стороны с целью предложения им любого дохода, связанного с выполнением любой работы у себя, либо у своих аффилированных лиц или лиц, входящих в группу лиц, состоящих в любых правоотношениях с ней, или ее аффилированными лицами.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06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УПОЛНОМОЧЕННЫЕ ЛИЦА</w:t>
      </w:r>
    </w:p>
    <w:p w:rsidR="00000000" w:rsidDel="00000000" w:rsidP="00000000" w:rsidRDefault="00000000" w:rsidRPr="00000000" w14:paraId="00000068">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bookmarkStart w:colFirst="0" w:colLast="0" w:name="_44sinio" w:id="16"/>
      <w:bookmarkEnd w:id="16"/>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Право запроса и получения информации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Стороны не договорились об ином, исключительное право запрашивать и получать конфиденциальную информацию имеют должностные лица Сторон, выполняющие обязанности исполнительного органа.</w:t>
      </w:r>
    </w:p>
    <w:p w:rsidR="00000000" w:rsidDel="00000000" w:rsidP="00000000" w:rsidRDefault="00000000" w:rsidRPr="00000000" w14:paraId="0000006A">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Форма разрешения</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Стороны не предусмотрели иное, разрешение на разглашение и/или использование конфиденциальной информации выдается Стороной, передавшей конфиденциальную информацию, конфиденту в простой письменной форме и подписывается лицом, выполняющим обязанности исполнительного органа Стороны, передавшей конфиденциальную информацию либо подписано надлежащим образом уполномоченным представителем Стороны, передающей конфиденциальную информацию.     </w:t>
      </w:r>
    </w:p>
    <w:p w:rsidR="00000000" w:rsidDel="00000000" w:rsidP="00000000" w:rsidRDefault="00000000" w:rsidRPr="00000000" w14:paraId="0000006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708" w:right="0" w:hanging="708"/>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ПРАВА ОБЛАДАТЕЛЯ КОНФИДЕНЦИАЛЬНОЙ ИНФОРМАЦИИ</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Обладатель конфиденциальной информации имеет следующие права: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w:t>
        <w:tab/>
        <w:t xml:space="preserve">устанавливать, изменять и отменять режим охраны конфиденциальной информации, в том числе режим коммерческой тайны в отношении определенной информации;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w:t>
        <w:tab/>
        <w:t xml:space="preserve">на защиту в административном порядке и на судебную защиту от действий другой Стороны, нарушающих установленный настоящим Соглашением режим охраны конфиденциальной информации, в т.ч. режим коммерческой тайны или создающих угрозу нарушения такого режима, в соответствии с действующим законодательством, а также от действий/бездействий другой Стороны иным образом нарушающих условия настоящего Соглашения;</w:t>
      </w:r>
    </w:p>
    <w:p w:rsidR="00000000" w:rsidDel="00000000" w:rsidP="00000000" w:rsidRDefault="00000000" w:rsidRPr="00000000" w14:paraId="0000007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708" w:right="2976" w:hanging="708"/>
        <w:jc w:val="left"/>
        <w:rPr>
          <w:rFonts w:ascii="Times New Roman" w:cs="Times New Roman" w:eastAsia="Times New Roman" w:hAnsi="Times New Roman"/>
          <w:b w:val="1"/>
          <w:i w:val="0"/>
          <w:smallCaps w:val="1"/>
          <w:strike w:val="0"/>
          <w:color w:val="000000"/>
          <w:sz w:val="20"/>
          <w:szCs w:val="20"/>
          <w:u w:val="none"/>
          <w:shd w:fill="auto" w:val="clear"/>
        </w:rPr>
      </w:pPr>
      <w:bookmarkStart w:colFirst="0" w:colLast="0" w:name="_3j2qqm3" w:id="19"/>
      <w:bookmarkEnd w:id="19"/>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ab/>
        <w:t xml:space="preserve">ПРАВА КОНФИДЕНТА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полученная Стороной без использования неправомерных средств в результате проведения исследований по собственной инициативе, систематических наблюдений и сбора сведений (факт чего должен быть подтвержден соответствующими документами), считается полученной правомерно и самостоятельно вне зависимости от того, что эта информация может совпадать по содержанию с конфиденциальной информацией другой Стороны. Конфиденциальная информация, полученная от ее обладателя на основании договора или в результате правопреемства, считается полученной правомерно.</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Конфидент вправе использовать конфиденциальную информацию другой Стороны исключительно в целях выполнения соответствующих договоров и в пределах, установленных другой Стороной.</w:t>
      </w:r>
    </w:p>
    <w:p w:rsidR="00000000" w:rsidDel="00000000" w:rsidP="00000000" w:rsidRDefault="00000000" w:rsidRPr="00000000" w14:paraId="00000073">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60" w:before="240" w:line="240" w:lineRule="auto"/>
        <w:ind w:left="708" w:right="2976" w:hanging="708"/>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ОБЯЗАННОСТИ КОНФИДЕНТА</w:t>
      </w:r>
    </w:p>
    <w:p w:rsidR="00000000" w:rsidDel="00000000" w:rsidP="00000000" w:rsidRDefault="00000000" w:rsidRPr="00000000" w14:paraId="00000074">
      <w:pPr>
        <w:keepNext w:val="1"/>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bookmarkStart w:colFirst="0" w:colLast="0" w:name="_4i7ojhp" w:id="21"/>
      <w:bookmarkEnd w:id="21"/>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Основание возникновения обязанностей</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Обязательства по соблюдению установленного настоящим Соглашением режима охраны конфиденциальной информации, в том числе режима коммерческой тайны  возлагаются на Сторону, вне зависимости от того, становится ли ей конфиденциальная информация  известна в силу заключенного между Сторонами договора, или  в результате случайности, ошибки либо была передана ей третьим лицом без соответствующей санкции другой Стороны.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также не имеет права разглашения или использования конфиденциальной информации другой Стороны, если Сторона знала или должна была знать, что данная информация была получена неправомерным способом, или приобретена при обстоятельствах, обязывающих   соблюдать ее конфиденциальность или ограничения по ее использованию. </w:t>
      </w:r>
    </w:p>
    <w:p w:rsidR="00000000" w:rsidDel="00000000" w:rsidP="00000000" w:rsidRDefault="00000000" w:rsidRPr="00000000" w14:paraId="00000077">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Запрет использования конфиденциальной информации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всего срока действия настоящего Соглашения Сторона не вправе использовать конфиденциальную информацию другой Стороны в своей экономической деятельности, включая ее   использование в производстве, передачу, разглашение другим лицам на основании договоров, а также иным способом включать указанную информацию в хозяйственный оборот,  в каких бы то ни было целях и (или) содействовать в этом другим лицам. </w:t>
      </w:r>
    </w:p>
    <w:p w:rsidR="00000000" w:rsidDel="00000000" w:rsidP="00000000" w:rsidRDefault="00000000" w:rsidRPr="00000000" w14:paraId="00000079">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Соблюдение режима охраны конфиденциальной информации</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Конфидент обязан создать условия, обеспечивающие защиту конфиденциальной информации другой Стороны.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Санкционированный допуск конфидента к конфиденциальной информации Стороны предусматривает: (1) принятие конфидентом обязательств перед обладателем конфиденциальной информации по соблюдению установленного настоящим Соглашением режима охраны конфиденциальной информации, в том числе режима коммерческой тайны;  (2) ознакомление конфидента с перечнем сведений, в отношении которых введен режим коммерческой тайны обладателем конфиденциальной информации, к которой конфидент имеет право доступа. </w:t>
      </w:r>
    </w:p>
    <w:p w:rsidR="00000000" w:rsidDel="00000000" w:rsidP="00000000" w:rsidRDefault="00000000" w:rsidRPr="00000000" w14:paraId="0000007C">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Срок действия оговорок о неразглашении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прекращении действия настоящего Соглашения конфидент, которому конфиденциальная информация стала известна в силу взаимоотношений Сторон по настоящему Соглашению, выполняет свои обязательства о неразглашении конфиденциальной информации в течение пяти лет с момента прекращения действия настоящего Соглашения.</w:t>
      </w:r>
    </w:p>
    <w:p w:rsidR="00000000" w:rsidDel="00000000" w:rsidP="00000000" w:rsidRDefault="00000000" w:rsidRPr="00000000" w14:paraId="0000007E">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Распоряжение информацией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прекращении действия соответствующих отношений конфидент обязан вернуть все имеющиеся в распоряжении конфидента относящиеся к делу документы, вне зависимости от их носителя, содержащие конфиденциальную информацию другой Стороны, либо уничтожить их по распоряжению другой Стороны в течении 10 (десяти) дней с момента получения письменного уведомления другой Стороны, после чего другой Стороне должно быть направлено письменное подтверждение уничтожение материалов.</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Данное положение не распространяется на материалы, оставляемые конфидентом в целях ведения бухгалтерского учета.</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имеет право выкладывать разработку проекта на любом его этапы в своё портфолио на официальный сайт, данная информация является исключение из общих правил конфиденциальности.</w:t>
      </w:r>
    </w:p>
    <w:p w:rsidR="00000000" w:rsidDel="00000000" w:rsidP="00000000" w:rsidRDefault="00000000" w:rsidRPr="00000000" w14:paraId="00000082">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Изменение режима</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Конфидент не имеет права изменять и отменять установленный настоящим Соглашением режим охраны конфиденциальной информации, в том числе режим коммерческой тайны, установленный другой Стороной.</w:t>
      </w:r>
    </w:p>
    <w:p w:rsidR="00000000" w:rsidDel="00000000" w:rsidP="00000000" w:rsidRDefault="00000000" w:rsidRPr="00000000" w14:paraId="00000084">
      <w:pPr>
        <w:keepNext w:val="1"/>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Уведомление о нарушении режима</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возникновении обстоятельств, нарушающих установленный настоящим Соглашением режим охраны конфиденциальной информации, в том числе режим коммерческой тайны или создающих угрозу нарушения такого режима конфидент обязан незамедлительно уведомить другую Сторону о таких обстоятельствах.</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087">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8" w:right="2976" w:hanging="708"/>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НОУ-ХАУ</w:t>
      </w:r>
    </w:p>
    <w:p w:rsidR="00000000" w:rsidDel="00000000" w:rsidP="00000000" w:rsidRDefault="00000000" w:rsidRPr="00000000" w14:paraId="00000088">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hanging="708"/>
        <w:jc w:val="both"/>
        <w:rPr>
          <w:rFonts w:ascii="Times New Roman" w:cs="Times New Roman" w:eastAsia="Times New Roman" w:hAnsi="Times New Roman"/>
          <w:b w:val="1"/>
          <w:i w:val="1"/>
          <w:smallCaps w:val="0"/>
          <w:strike w:val="0"/>
          <w:color w:val="000000"/>
          <w:sz w:val="20"/>
          <w:szCs w:val="20"/>
          <w:u w:val="none"/>
          <w:shd w:fill="auto" w:val="clear"/>
        </w:rPr>
      </w:pPr>
      <w:bookmarkStart w:colFirst="0" w:colLast="0" w:name="_49x2ik5" w:id="29"/>
      <w:bookmarkEnd w:id="29"/>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Имущественные права на ноу-хау</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сохраняют все интеллектуальные права на секреты производства (ноу-хау). </w:t>
      </w:r>
    </w:p>
    <w:p w:rsidR="00000000" w:rsidDel="00000000" w:rsidP="00000000" w:rsidRDefault="00000000" w:rsidRPr="00000000" w14:paraId="0000008A">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6" w:right="0" w:hanging="708"/>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Запрет использования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не имеет права использовать ноу-хау другой Стороны в собственном производстве с включением их в состав нематериальных активов; передавать по договору права на ноу-хау третьим лицам полностью или частично; получать денежное вознаграждение, в том числе, долю дохода от     использования ноу-хау.</w:t>
      </w:r>
    </w:p>
    <w:p w:rsidR="00000000" w:rsidDel="00000000" w:rsidP="00000000" w:rsidRDefault="00000000" w:rsidRPr="00000000" w14:paraId="0000008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708" w:right="2976" w:hanging="708"/>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ОТВЕТСТВЕННОСТЬ СТОРОН</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неисполняющая или ненадлежащим образом исполняющая свои обязательства по настоящему Соглашению, несет ответственность, в порядке, установленном законодательством РФ и настоящим Соглашением.</w:t>
      </w:r>
    </w:p>
    <w:p w:rsidR="00000000" w:rsidDel="00000000" w:rsidP="00000000" w:rsidRDefault="00000000" w:rsidRPr="00000000" w14:paraId="0000008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Прекращение действий</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нарушившая положения настоящего Соглашения, обязана незамедлительно прекратить совершение действий, ведущих к нарушению установленного настоящим Соглашением режима охраны конфиденциальной информации, в том числе коммерческой тайны и разглашению конфиденциальной информации, либо создающие угрозу нарушения прав другой Стороны на конфиденциальную информацию.</w:t>
      </w:r>
    </w:p>
    <w:p w:rsidR="00000000" w:rsidDel="00000000" w:rsidP="00000000" w:rsidRDefault="00000000" w:rsidRPr="00000000" w14:paraId="0000009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Возмещение убытков и компенсация</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нарушившая обязательства, взятые на себя по настоящему Соглашению, обязана возместить убытки, причиненные разглашением или неправомерным   использованием конфиденциальной информации в течение 30 (тридцати) дней со дня получения уведомления от потерпевшей Стороны. Cумма возмещения убытков, определяется в судебном порядке в соответствии с действующем законодательством РФ.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невозможности определения размера ущерба или вреда, причиненного нарушением прав на конфиденциальную информацию, Сторона нарушившая обязательства, выплачивает в указанный срок вместо возмещения убытков или взыскания дохода штраф сумме, эквивалентной 200 000, 00 (Двести тысяч) рублей.</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 всяком случае совокупная ответственность в отношении любых потерь или убытков любого характера, понесенных потерпевшей Стороной, не должна превышать в сумме 500 000, 00 (Пятиста тысяч) рублей, независимо от того, возникает ли такое обязательство из контракта, деликта, неосторожности или по другой причине. </w:t>
      </w:r>
    </w:p>
    <w:p w:rsidR="00000000" w:rsidDel="00000000" w:rsidP="00000000" w:rsidRDefault="00000000" w:rsidRPr="00000000" w14:paraId="00000094">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ДЕЛИМОСТЬ ДОГОВОРА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Признание одного или нескольких содержащихся в Соглашении положений недействительными, незаконными или не подлежащими правовой защите в силу действия закона, не влияет на действительность, законность и защищенность остальных условий.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14:paraId="0000009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ОТКАЗ ОТ ПРАВ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 поблажки, уступки, сделанной Стороной либо неосуществления или задержки в осуществлении права, полномочия или привилегии этой Стороны по Соглашению не означает отказ этой Стороны от данного права, полномочия или привилегии. Также единовременное или частичное использование права, полномочия или привилегии не препятствует другому или последующему осуществлению данного права, полномочия или привилегии, равно как и не препятствует осуществлению любого другого права, полномочия или привилегии.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09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ЗАГОЛОВКИ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Заголовки не являются Условиями и приведены для удобства восприятия.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2hioqz" w:id="35"/>
      <w:bookmarkEnd w:id="35"/>
      <w:r w:rsidDel="00000000" w:rsidR="00000000" w:rsidRPr="00000000">
        <w:rPr>
          <w:rtl w:val="0"/>
        </w:rPr>
      </w:r>
    </w:p>
    <w:p w:rsidR="00000000" w:rsidDel="00000000" w:rsidP="00000000" w:rsidRDefault="00000000" w:rsidRPr="00000000" w14:paraId="0000009D">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ПРИМЕНИМОЕ ПРАВО И ПОДСУДНОСТЬ</w:t>
      </w:r>
    </w:p>
    <w:p w:rsidR="00000000" w:rsidDel="00000000" w:rsidP="00000000" w:rsidRDefault="00000000" w:rsidRPr="00000000" w14:paraId="0000009E">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bookmarkStart w:colFirst="0" w:colLast="0" w:name="_1hmsyys" w:id="36"/>
      <w:bookmarkEnd w:id="36"/>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Применимое право</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Настоящее Соглашение регулируется правом Российской Федерации и толкуется в соответствии с ним.</w:t>
      </w:r>
    </w:p>
    <w:p w:rsidR="00000000" w:rsidDel="00000000" w:rsidP="00000000" w:rsidRDefault="00000000" w:rsidRPr="00000000" w14:paraId="000000A0">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imes New Roman" w:cs="Times New Roman" w:eastAsia="Times New Roman" w:hAnsi="Times New Roman"/>
          <w:b w:val="1"/>
          <w:i w:val="1"/>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Подсудность</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споры, разбирательства, между Сторонами, в рамках настоящего соглашения, разрешаются путем переговоров, при не достижении Сторонами согласия - в судебном порядке в соответствии с действующим законодательством РФ, где подсудность определяется по выбору истца на основании ст. 36 АПК РФ.</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grqrue" w:id="38"/>
      <w:bookmarkEnd w:id="38"/>
      <w:r w:rsidDel="00000000" w:rsidR="00000000" w:rsidRPr="00000000">
        <w:rPr>
          <w:rtl w:val="0"/>
        </w:rPr>
      </w:r>
    </w:p>
    <w:p w:rsidR="00000000" w:rsidDel="00000000" w:rsidP="00000000" w:rsidRDefault="00000000" w:rsidRPr="00000000" w14:paraId="000000A3">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ОБЯЗАТЕЛЬНАЯ СИЛА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Настоящее Соглашение распространяется на отношения Сторон, вне зависимости от изменений состава работников Сторон, на правопреемников Сторон. При реорганизации Стороны как юридического лица права и обязанности по настоящему Соглашению переходят к ее правопреемнику.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vx1227" w:id="39"/>
      <w:bookmarkEnd w:id="39"/>
      <w:r w:rsidDel="00000000" w:rsidR="00000000" w:rsidRPr="00000000">
        <w:rPr>
          <w:rtl w:val="0"/>
        </w:rPr>
      </w:r>
    </w:p>
    <w:p w:rsidR="00000000" w:rsidDel="00000000" w:rsidP="00000000" w:rsidRDefault="00000000" w:rsidRPr="00000000" w14:paraId="000000A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2976" w:firstLine="0"/>
        <w:jc w:val="left"/>
        <w:rPr>
          <w:rFonts w:ascii="Times New Roman" w:cs="Times New Roman" w:eastAsia="Times New Roman" w:hAnsi="Times New Roman"/>
          <w:b w:val="1"/>
          <w:i w:val="0"/>
          <w:smallCaps w:val="1"/>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СРОК ДЕЙСТВИЯ СОГЛАШЕНИЯ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Настоящее Соглашение вступает в силу со дня его подписания обеими Сторонами и действует в течение 5 (пяти) лет со дня его вступления в силу.</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НАСТОЯЩИМ ПОДТВЕРЖДАЕТСЯ, что с данного момента Стороны принимают на себя вышеизложенные обязательства.</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РЕКВИЗИТЫ СТОРОН</w:t>
      </w:r>
      <w:r w:rsidDel="00000000" w:rsidR="00000000" w:rsidRPr="00000000">
        <w:rPr>
          <w:rtl w:val="0"/>
        </w:rPr>
      </w:r>
    </w:p>
    <w:tbl>
      <w:tblPr>
        <w:tblStyle w:val="Table1"/>
        <w:tblW w:w="10314.0" w:type="dxa"/>
        <w:jc w:val="left"/>
        <w:tblInd w:w="0.0" w:type="dxa"/>
        <w:tblLayout w:type="fixed"/>
        <w:tblLook w:val="0000"/>
      </w:tblPr>
      <w:tblGrid>
        <w:gridCol w:w="5211"/>
        <w:gridCol w:w="5103"/>
        <w:tblGridChange w:id="0">
          <w:tblGrid>
            <w:gridCol w:w="5211"/>
            <w:gridCol w:w="5103"/>
          </w:tblGrid>
        </w:tblGridChange>
      </w:tblGrid>
      <w:tr>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4995.0" w:type="dxa"/>
              <w:jc w:val="left"/>
              <w:tblLayout w:type="fixed"/>
              <w:tblLook w:val="0000"/>
            </w:tblPr>
            <w:tblGrid>
              <w:gridCol w:w="4995"/>
              <w:tblGridChange w:id="0">
                <w:tblGrid>
                  <w:gridCol w:w="4995"/>
                </w:tblGrid>
              </w:tblGridChange>
            </w:tblGrid>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ИП Алешин Глеб Анатольевич</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ИНН 771687651026</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ОРГНИП 315774600301843</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Р/С 40802810000000031211</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Банк АО «Райффайзенбанк» г. Москва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К/С 30101810200000000700</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БИК 044525700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 /Г.А. Алешин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М.П.</w:t>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Юридический адрес:</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Почтовый адрес:</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ОГРН:</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ОКАТО:</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ИНН/КПП:</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Корр. Счет: </w:t>
              <w:tab/>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БИК: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_________________________ /____________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subscript"/>
                <w:rtl w:val="0"/>
              </w:rPr>
              <w:t xml:space="preserve">М.П.</w:t>
            </w:r>
            <w:r w:rsidDel="00000000" w:rsidR="00000000" w:rsidRPr="00000000">
              <w:rPr>
                <w:rtl w:val="0"/>
              </w:rPr>
            </w:r>
          </w:p>
        </w:tc>
      </w:tr>
      <w:tr>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708" w:right="2976" w:hanging="708"/>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sectPr>
      <w:headerReference r:id="rId6" w:type="default"/>
      <w:pgSz w:h="16840" w:w="11907"/>
      <w:pgMar w:bottom="568" w:top="709" w:left="1701" w:right="12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0" w:line="240" w:lineRule="auto"/>
      <w:ind w:left="0" w:right="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2">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3">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4">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5">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6">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7">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8">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abstractNum w:abstractNumId="9">
    <w:lvl w:ilvl="0">
      <w:start w:val="1"/>
      <w:numFmt w:val="decimal"/>
      <w:lvlText w:val="%1."/>
      <w:lvlJc w:val="left"/>
      <w:pPr>
        <w:ind w:left="708" w:hanging="708"/>
      </w:pPr>
      <w:rPr>
        <w:vertAlign w:val="baseline"/>
      </w:rPr>
    </w:lvl>
    <w:lvl w:ilvl="1">
      <w:start w:val="1"/>
      <w:numFmt w:val="decimal"/>
      <w:lvlText w:val="%1.%2."/>
      <w:lvlJc w:val="left"/>
      <w:pPr>
        <w:ind w:left="1416" w:hanging="708"/>
      </w:pPr>
      <w:rPr>
        <w:vertAlign w:val="baseline"/>
      </w:rPr>
    </w:lvl>
    <w:lvl w:ilvl="2">
      <w:start w:val="1"/>
      <w:numFmt w:val="decimal"/>
      <w:lvlText w:val="%1.%2.%3."/>
      <w:lvlJc w:val="left"/>
      <w:pPr>
        <w:ind w:left="2124" w:hanging="707.9999999999998"/>
      </w:pPr>
      <w:rPr>
        <w:vertAlign w:val="baseline"/>
      </w:rPr>
    </w:lvl>
    <w:lvl w:ilvl="3">
      <w:start w:val="1"/>
      <w:numFmt w:val="decimal"/>
      <w:lvlText w:val="%1.%2.%3.%4."/>
      <w:lvlJc w:val="left"/>
      <w:pPr>
        <w:ind w:left="2832" w:hanging="708"/>
      </w:pPr>
      <w:rPr>
        <w:vertAlign w:val="baseline"/>
      </w:rPr>
    </w:lvl>
    <w:lvl w:ilvl="4">
      <w:start w:val="1"/>
      <w:numFmt w:val="decimal"/>
      <w:lvlText w:val="%1.%2.%3.%4.%5."/>
      <w:lvlJc w:val="left"/>
      <w:pPr>
        <w:ind w:left="3540" w:hanging="708"/>
      </w:pPr>
      <w:rPr>
        <w:vertAlign w:val="baseline"/>
      </w:rPr>
    </w:lvl>
    <w:lvl w:ilvl="5">
      <w:start w:val="1"/>
      <w:numFmt w:val="decimal"/>
      <w:lvlText w:val="%1.%2.%3.%4.%5.%6."/>
      <w:lvlJc w:val="left"/>
      <w:pPr>
        <w:ind w:left="4248" w:hanging="708"/>
      </w:pPr>
      <w:rPr>
        <w:vertAlign w:val="baseline"/>
      </w:rPr>
    </w:lvl>
    <w:lvl w:ilvl="6">
      <w:start w:val="1"/>
      <w:numFmt w:val="decimal"/>
      <w:lvlText w:val="%1.%2.%3.%4.%5.%6.%7."/>
      <w:lvlJc w:val="left"/>
      <w:pPr>
        <w:ind w:left="4956" w:hanging="708"/>
      </w:pPr>
      <w:rPr>
        <w:vertAlign w:val="baseline"/>
      </w:rPr>
    </w:lvl>
    <w:lvl w:ilvl="7">
      <w:start w:val="1"/>
      <w:numFmt w:val="decimal"/>
      <w:lvlText w:val="%1.%2.%3.%4.%5.%6.%7.%8."/>
      <w:lvlJc w:val="left"/>
      <w:pPr>
        <w:ind w:left="5664" w:hanging="708"/>
      </w:pPr>
      <w:rPr>
        <w:vertAlign w:val="baseline"/>
      </w:rPr>
    </w:lvl>
    <w:lvl w:ilvl="8">
      <w:start w:val="1"/>
      <w:numFmt w:val="decimal"/>
      <w:lvlText w:val="%1.%2.%3.%4.%5.%6.%7.%8.%9."/>
      <w:lvlJc w:val="left"/>
      <w:pPr>
        <w:ind w:left="6372" w:hanging="707.9999999999991"/>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